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jc w:val="center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6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2978" cy="614477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7963329" name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2977" cy="614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0.39pt;height:48.38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ПРАВИТЕЛЬСТВО АРХАНГЕЛЬСКОЙ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eastAsia="Liberation Serif" w:cs="Liberation Serif"/>
                <w:b/>
              </w:rPr>
              <w:t xml:space="preserve">МИНИСТЕРСТВО КУЛЬТУРЫ АРХАНГЕЛЬСКОЙ ОБЛАСТИ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6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Троицкий просп., д.49, г. Архангельск, 163004, тел./факс: (8182) 289-681/(8182) 289-680                                                              </w:t>
            </w:r>
            <w:r>
              <w:rPr>
                <w:rFonts w:ascii="Liberation Serif" w:hAnsi="Liberation Serif" w:eastAsia="Liberation Serif" w:cs="Liberation Serif"/>
                <w:lang w:val="en-US"/>
              </w:rPr>
              <w:t xml:space="preserve">e</w:t>
            </w:r>
            <w:r>
              <w:rPr>
                <w:rFonts w:ascii="Liberation Serif" w:hAnsi="Liberation Serif" w:eastAsia="Liberation Serif" w:cs="Liberation Serif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lang w:val="en-US"/>
              </w:rPr>
              <w:t xml:space="preserve">mail</w:t>
            </w:r>
            <w:r>
              <w:rPr>
                <w:rFonts w:ascii="Liberation Serif" w:hAnsi="Liberation Serif" w:eastAsia="Liberation Serif" w:cs="Liberation Serif"/>
              </w:rPr>
              <w:t xml:space="preserve">: </w:t>
            </w:r>
            <w:hyperlink r:id="rId14" w:tooltip="mailto:arhobr@dvinaland.ru" w:history="1">
              <w:r>
                <w:rPr>
                  <w:rStyle w:val="863"/>
                  <w:rFonts w:ascii="Liberation Serif" w:hAnsi="Liberation Serif" w:eastAsia="Liberation Serif" w:cs="Liberation Serif"/>
                  <w:lang w:val="en-US"/>
                </w:rPr>
                <w:t xml:space="preserve">minkultao</w:t>
              </w:r>
              <w:r>
                <w:rPr>
                  <w:rStyle w:val="863"/>
                  <w:rFonts w:ascii="Liberation Serif" w:hAnsi="Liberation Serif" w:eastAsia="Liberation Serif" w:cs="Liberation Serif"/>
                </w:rPr>
                <w:t xml:space="preserve">@</w:t>
              </w:r>
              <w:r>
                <w:rPr>
                  <w:rStyle w:val="863"/>
                  <w:rFonts w:ascii="Liberation Serif" w:hAnsi="Liberation Serif" w:eastAsia="Liberation Serif" w:cs="Liberation Serif"/>
                  <w:lang w:val="en-US"/>
                </w:rPr>
                <w:t xml:space="preserve">dvinaland</w:t>
              </w:r>
              <w:r>
                <w:rPr>
                  <w:rStyle w:val="863"/>
                  <w:rFonts w:ascii="Liberation Serif" w:hAnsi="Liberation Serif" w:eastAsia="Liberation Serif" w:cs="Liberation Serif"/>
                </w:rPr>
                <w:t xml:space="preserve">.</w:t>
              </w:r>
              <w:r>
                <w:rPr>
                  <w:rStyle w:val="863"/>
                  <w:rFonts w:ascii="Liberation Serif" w:hAnsi="Liberation Serif" w:eastAsia="Liberation Serif" w:cs="Liberation Serif"/>
                  <w:lang w:val="en-US"/>
                </w:rPr>
                <w:t xml:space="preserve">ru</w:t>
              </w:r>
            </w:hyperlink>
            <w:r/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результатах обобщения правоприменительной практики при осуществлении регионального государственного контроля (надзора) </w:t>
      </w:r>
      <w:r>
        <w:rPr>
          <w:b/>
          <w:sz w:val="28"/>
          <w:szCs w:val="28"/>
        </w:rPr>
        <w:br/>
        <w:t xml:space="preserve">за соблюдением законодательства об архивном деле </w:t>
      </w:r>
      <w:r>
        <w:rPr>
          <w:rFonts w:eastAsia="Calibri"/>
          <w:b/>
          <w:sz w:val="28"/>
          <w:szCs w:val="28"/>
          <w:lang w:eastAsia="en-US"/>
        </w:rPr>
        <w:t xml:space="preserve">в 2024 году</w:t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31 декабря 2024 г.)</w:t>
      </w:r>
      <w:r>
        <w:rPr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3"/>
        <w:jc w:val="center"/>
        <w:rPr>
          <w:b/>
          <w:bCs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5" w:h="16837" w:orient="portrait"/>
          <w:pgMar w:top="1106" w:right="709" w:bottom="566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92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9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2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министерства культуры Архангельской области</w:t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марта 2025 г. №          -р</w:t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92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3"/>
        <w:jc w:val="center"/>
        <w:spacing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Доклад о результатах обобщения правоприменительной практики при осуществлении </w:t>
      </w:r>
      <w:r>
        <w:rPr>
          <w:rFonts w:ascii="Tinos" w:hAnsi="Tinos" w:eastAsia="Tinos" w:cs="Tinos"/>
          <w:b/>
          <w:sz w:val="28"/>
          <w:szCs w:val="28"/>
        </w:rPr>
        <w:t xml:space="preserve">регионального государственного контроля (надзора) </w:t>
      </w:r>
      <w:r>
        <w:rPr>
          <w:rFonts w:ascii="Tinos" w:hAnsi="Tinos" w:eastAsia="Tinos" w:cs="Tinos"/>
          <w:b/>
          <w:sz w:val="28"/>
          <w:szCs w:val="28"/>
        </w:rPr>
        <w:br w:type="textWrapping" w:clear="all"/>
      </w:r>
      <w:r>
        <w:rPr>
          <w:rFonts w:ascii="Tinos" w:hAnsi="Tinos" w:eastAsia="Tinos" w:cs="Tinos"/>
          <w:b/>
          <w:sz w:val="28"/>
          <w:szCs w:val="28"/>
        </w:rPr>
        <w:t xml:space="preserve">за соблюдением законодательства об архивном деле</w:t>
      </w:r>
      <w:r>
        <w:rPr>
          <w:rFonts w:ascii="Tinos" w:hAnsi="Tinos" w:eastAsia="Tinos" w:cs="Tinos"/>
          <w:b/>
          <w:sz w:val="28"/>
          <w:szCs w:val="28"/>
          <w:lang w:eastAsia="en-US"/>
        </w:rPr>
        <w:t xml:space="preserve"> в 2024 году</w:t>
      </w:r>
      <w:r>
        <w:rPr>
          <w:rFonts w:ascii="Tinos" w:hAnsi="Tinos" w:cs="Tinos"/>
          <w:b/>
          <w:sz w:val="28"/>
          <w:szCs w:val="28"/>
        </w:rPr>
      </w:r>
    </w:p>
    <w:p>
      <w:pPr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09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val="en-US"/>
        </w:rPr>
        <w:t xml:space="preserve">I</w:t>
      </w:r>
      <w:r>
        <w:rPr>
          <w:rFonts w:ascii="Tinos" w:hAnsi="Tinos" w:eastAsia="Tinos" w:cs="Tinos"/>
          <w:b/>
          <w:sz w:val="28"/>
          <w:szCs w:val="28"/>
        </w:rPr>
        <w:t xml:space="preserve">. Аналитическое обобщение обязательных требований, составляющих предмет государственного контроля (надзора)</w:t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09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Министерство </w:t>
      </w:r>
      <w:r>
        <w:rPr>
          <w:rFonts w:ascii="Tinos" w:hAnsi="Tinos" w:eastAsia="Tinos" w:cs="Tinos"/>
          <w:sz w:val="28"/>
          <w:szCs w:val="28"/>
        </w:rPr>
        <w:t xml:space="preserve">культуры Архангельской области (далее – министерство) является исполнительным органом государственной власти Архангельской области, уполномоченным осуществлять региональный государственный контроль (надзор) за соблюдением законодательства об архивном деле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(далее – региональный контроль), в пределах компетенций, определенных Положением о министерстве, утвержденным постановлением Правительства Архангельской области от 27.03.2012 № 118-пп.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Предметом регионального контроля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является: 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соблюдение обязательных тр</w:t>
      </w:r>
      <w:r>
        <w:rPr>
          <w:rFonts w:ascii="Tinos" w:hAnsi="Tinos" w:eastAsia="Tinos" w:cs="Tinos"/>
          <w:sz w:val="28"/>
          <w:szCs w:val="28"/>
        </w:rPr>
        <w:t xml:space="preserve">ебований, установленных в соответствии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с федеральными законами Российской Федерации и иными нормативными правовыми актами Российской Федерации, областными законами и иными нормативными правовыми актами Архангельской области, к организации хранения, компле</w:t>
      </w:r>
      <w:r>
        <w:rPr>
          <w:rFonts w:ascii="Tinos" w:hAnsi="Tinos" w:eastAsia="Tinos" w:cs="Tinos"/>
          <w:sz w:val="28"/>
          <w:szCs w:val="28"/>
        </w:rPr>
        <w:t xml:space="preserve">ктования, учета и использования документов Архивного фонда Российской Федерации и других архивных документов на территории Архангельской области; 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исполнение решений, принимаемых по результатам контрольных (надзорных) мероприятий.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Обязательные требования </w:t>
      </w:r>
      <w:r>
        <w:rPr>
          <w:rFonts w:ascii="Tinos" w:hAnsi="Tinos" w:eastAsia="Tinos" w:cs="Tinos"/>
          <w:sz w:val="28"/>
          <w:szCs w:val="28"/>
        </w:rPr>
        <w:t xml:space="preserve">для архивов организаций установлены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Федеральным законом от 25.10.2004 № 125-ФЗ «Об архивном деле </w:t>
      </w:r>
      <w:r>
        <w:rPr>
          <w:rFonts w:ascii="Tinos" w:hAnsi="Tinos" w:eastAsia="Tinos" w:cs="Tinos"/>
          <w:spacing w:val="-2"/>
          <w:sz w:val="28"/>
          <w:szCs w:val="28"/>
        </w:rPr>
        <w:br/>
        <w:t xml:space="preserve">в Российской Федерации», областным законом от 9.12.2005 № 135-8-ОЗ «Об архивном деле в Архангельской области». </w:t>
      </w:r>
      <w:r>
        <w:rPr>
          <w:rFonts w:ascii="Tinos" w:hAnsi="Tinos" w:eastAsia="Tinos" w:cs="Tinos"/>
          <w:sz w:val="28"/>
          <w:szCs w:val="28"/>
        </w:rPr>
        <w:t xml:space="preserve">Приказ Министерства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культуры Российской Федерац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ии </w:t>
      </w:r>
      <w:r>
        <w:rPr>
          <w:rFonts w:ascii="Tinos" w:hAnsi="Tinos" w:eastAsia="Tinos" w:cs="Tinos"/>
          <w:sz w:val="28"/>
          <w:szCs w:val="28"/>
        </w:rPr>
        <w:t xml:space="preserve">от 31.03.2015 № 526 «Об утверждении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Правил </w:t>
      </w:r>
      <w:r>
        <w:rPr>
          <w:rFonts w:ascii="Tinos" w:hAnsi="Tinos" w:eastAsia="Tinos" w:cs="Tinos"/>
          <w:sz w:val="28"/>
          <w:szCs w:val="28"/>
        </w:rPr>
        <w:t xml:space="preserve">организации хранения, комплектования, учета и </w:t>
      </w:r>
      <w:r>
        <w:rPr>
          <w:rFonts w:ascii="Tinos" w:hAnsi="Tinos" w:eastAsia="Tinos" w:cs="Tinos"/>
          <w:spacing w:val="-1"/>
          <w:sz w:val="28"/>
          <w:szCs w:val="28"/>
        </w:rPr>
        <w:t xml:space="preserve">использования документов </w:t>
      </w:r>
      <w:r>
        <w:rPr>
          <w:rFonts w:ascii="Tinos" w:hAnsi="Tinos" w:eastAsia="Tinos" w:cs="Tinos"/>
          <w:spacing w:val="-3"/>
          <w:sz w:val="28"/>
          <w:szCs w:val="28"/>
        </w:rPr>
        <w:t xml:space="preserve">архивного фонда Российской </w:t>
      </w:r>
      <w:r>
        <w:rPr>
          <w:rFonts w:ascii="Tinos" w:hAnsi="Tinos" w:eastAsia="Tinos" w:cs="Tinos"/>
          <w:sz w:val="28"/>
          <w:szCs w:val="28"/>
        </w:rPr>
        <w:t xml:space="preserve">Федерации и других архивных документов </w:t>
      </w:r>
      <w:r>
        <w:rPr>
          <w:rFonts w:ascii="Tinos" w:hAnsi="Tinos" w:eastAsia="Tinos" w:cs="Tinos"/>
          <w:sz w:val="28"/>
          <w:szCs w:val="28"/>
        </w:rPr>
        <w:br/>
        <w:t xml:space="preserve">в органах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государственной власти, органах </w:t>
      </w:r>
      <w:r>
        <w:rPr>
          <w:rFonts w:ascii="Tinos" w:hAnsi="Tinos" w:eastAsia="Tinos" w:cs="Tinos"/>
          <w:sz w:val="28"/>
          <w:szCs w:val="28"/>
        </w:rPr>
        <w:t xml:space="preserve">местного самоуправления </w:t>
      </w:r>
      <w:r>
        <w:rPr>
          <w:rFonts w:ascii="Tinos" w:hAnsi="Tinos" w:eastAsia="Tinos" w:cs="Tinos"/>
          <w:sz w:val="28"/>
          <w:szCs w:val="28"/>
        </w:rPr>
        <w:br/>
        <w:t xml:space="preserve">и орг</w:t>
      </w:r>
      <w:r>
        <w:rPr>
          <w:rFonts w:ascii="Tinos" w:hAnsi="Tinos" w:eastAsia="Tinos" w:cs="Tinos"/>
          <w:sz w:val="28"/>
          <w:szCs w:val="28"/>
        </w:rPr>
        <w:t xml:space="preserve">анизациях» утратил силу 16.09.2023 на основании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Приказа </w:t>
      </w:r>
      <w:r>
        <w:rPr>
          <w:rFonts w:ascii="Tinos" w:hAnsi="Tinos" w:eastAsia="Tinos" w:cs="Tinos"/>
          <w:sz w:val="28"/>
          <w:szCs w:val="28"/>
        </w:rPr>
        <w:t xml:space="preserve">Министерства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культуры Российской Федерации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от 08.08.2023 N 2367.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Новая редакция Правил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>
        <w:rPr>
          <w:rFonts w:ascii="Tinos" w:hAnsi="Tinos" w:eastAsia="Tinos" w:cs="Tinos"/>
          <w:color w:val="000000"/>
          <w:sz w:val="28"/>
          <w:szCs w:val="28"/>
        </w:rPr>
        <w:br/>
        <w:t xml:space="preserve">в государственных органах, органах местного самоуправления </w:t>
      </w:r>
      <w:r>
        <w:rPr>
          <w:rFonts w:ascii="Tinos" w:hAnsi="Tinos" w:eastAsia="Tinos" w:cs="Tinos"/>
          <w:color w:val="000000"/>
          <w:sz w:val="28"/>
          <w:szCs w:val="28"/>
        </w:rPr>
        <w:br/>
      </w:r>
      <w:r>
        <w:rPr>
          <w:rFonts w:ascii="Tinos" w:hAnsi="Tinos" w:eastAsia="Tinos" w:cs="Tinos"/>
          <w:color w:val="000000"/>
          <w:sz w:val="28"/>
          <w:szCs w:val="28"/>
        </w:rPr>
        <w:t xml:space="preserve">и организациях  утверждена приказом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Федерального архивного агентства </w:t>
      </w:r>
      <w:r>
        <w:rPr>
          <w:rFonts w:ascii="Tinos" w:hAnsi="Tinos" w:eastAsia="Tinos" w:cs="Tinos"/>
          <w:color w:val="000000"/>
          <w:sz w:val="28"/>
          <w:szCs w:val="28"/>
        </w:rPr>
        <w:br/>
        <w:t xml:space="preserve">от 23.07.2023 № 77.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Обязательные требования к организации хранения, комплектования, учета и </w:t>
      </w:r>
      <w:r>
        <w:rPr>
          <w:rFonts w:ascii="Tinos" w:hAnsi="Tinos" w:eastAsia="Tinos" w:cs="Tinos"/>
          <w:spacing w:val="-1"/>
          <w:sz w:val="28"/>
          <w:szCs w:val="28"/>
        </w:rPr>
        <w:t xml:space="preserve">использования документов </w:t>
      </w:r>
      <w:r>
        <w:rPr>
          <w:rFonts w:ascii="Tinos" w:hAnsi="Tinos" w:eastAsia="Tinos" w:cs="Tinos"/>
          <w:spacing w:val="-3"/>
          <w:sz w:val="28"/>
          <w:szCs w:val="28"/>
        </w:rPr>
        <w:t xml:space="preserve">архивного фонда Российской </w:t>
      </w:r>
      <w:r>
        <w:rPr>
          <w:rFonts w:ascii="Tinos" w:hAnsi="Tinos" w:eastAsia="Tinos" w:cs="Tinos"/>
          <w:sz w:val="28"/>
          <w:szCs w:val="28"/>
        </w:rPr>
        <w:t xml:space="preserve">Федерации </w:t>
      </w:r>
      <w:r>
        <w:rPr>
          <w:rFonts w:ascii="Tinos" w:hAnsi="Tinos" w:eastAsia="Tinos" w:cs="Tinos"/>
          <w:sz w:val="28"/>
          <w:szCs w:val="28"/>
        </w:rPr>
        <w:br/>
        <w:t xml:space="preserve">и других архивных документов для государственных и муниципальных ар</w:t>
      </w:r>
      <w:r>
        <w:rPr>
          <w:rFonts w:ascii="Tinos" w:hAnsi="Tinos" w:eastAsia="Tinos" w:cs="Tinos"/>
          <w:sz w:val="28"/>
          <w:szCs w:val="28"/>
        </w:rPr>
        <w:t xml:space="preserve">хивов установлены </w:t>
      </w:r>
      <w:r>
        <w:rPr>
          <w:rFonts w:ascii="Tinos" w:hAnsi="Tinos" w:eastAsia="Tinos" w:cs="Tinos"/>
          <w:spacing w:val="-2"/>
          <w:sz w:val="28"/>
          <w:szCs w:val="28"/>
        </w:rPr>
        <w:t xml:space="preserve">Федеральным законом от 25.10.2004 № 125-ФЗ «Об архивном деле в Российской Федерации», областным законом от 9.12.2005 </w:t>
      </w:r>
      <w:r>
        <w:rPr>
          <w:rFonts w:ascii="Tinos" w:hAnsi="Tinos" w:eastAsia="Tinos" w:cs="Tinos"/>
          <w:spacing w:val="-2"/>
          <w:sz w:val="28"/>
          <w:szCs w:val="28"/>
        </w:rPr>
        <w:br/>
        <w:t xml:space="preserve">№ 135-8-ОЗ «Об архивном деле в Архангельской области»</w:t>
      </w:r>
      <w:r>
        <w:rPr>
          <w:rFonts w:ascii="Tinos" w:hAnsi="Tinos" w:eastAsia="Tinos" w:cs="Tinos"/>
          <w:sz w:val="28"/>
          <w:szCs w:val="28"/>
        </w:rPr>
        <w:t xml:space="preserve"> и приказом Федерального архивного агентства от 02.03.2020 № 24 «Об</w:t>
      </w:r>
      <w:r>
        <w:rPr>
          <w:rFonts w:ascii="Tinos" w:hAnsi="Tinos" w:eastAsia="Tinos" w:cs="Tinos"/>
          <w:sz w:val="28"/>
          <w:szCs w:val="28"/>
        </w:rPr>
        <w:t xml:space="preserve">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</w:t>
      </w:r>
      <w:r>
        <w:rPr>
          <w:rFonts w:ascii="Tinos" w:hAnsi="Tinos" w:eastAsia="Tinos" w:cs="Tinos"/>
          <w:sz w:val="28"/>
          <w:szCs w:val="28"/>
        </w:rPr>
        <w:br/>
        <w:t xml:space="preserve">и библиотеках, научных организациях». Содержание</w:t>
      </w:r>
      <w:r>
        <w:rPr>
          <w:rFonts w:ascii="Tinos" w:hAnsi="Tinos" w:eastAsia="Tinos" w:cs="Tinos"/>
          <w:sz w:val="28"/>
          <w:szCs w:val="28"/>
        </w:rPr>
        <w:t xml:space="preserve"> данных обязательных требований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не менялось.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Специалистами отдела по делам архивов министерства культуры Архангельской области проведено 670 консультаций контролируемых лиц по организации </w:t>
      </w:r>
      <w:r>
        <w:rPr>
          <w:rFonts w:ascii="Tinos" w:hAnsi="Tinos" w:eastAsia="Tinos" w:cs="Tinos"/>
          <w:sz w:val="28"/>
          <w:szCs w:val="28"/>
        </w:rPr>
        <w:t xml:space="preserve">хранения, комплектования, учета и использования архивных документов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соблюдению обязательных требований в сфере архивного дела.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Потребности письменного консультирования по обязательным требованиям за отчетный период не зафиксировано.</w:t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83" w:lineRule="atLeast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center"/>
        <w:spacing w:after="0" w:line="283" w:lineRule="atLeast"/>
        <w:widowControl w:val="off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val="en-US"/>
        </w:rPr>
        <w:t xml:space="preserve">II</w:t>
      </w:r>
      <w:r>
        <w:rPr>
          <w:rFonts w:ascii="Tinos" w:hAnsi="Tinos" w:eastAsia="Tinos" w:cs="Tinos"/>
          <w:b/>
          <w:sz w:val="28"/>
          <w:szCs w:val="28"/>
        </w:rPr>
        <w:t xml:space="preserve">. Статистическое и аналитическое обобщение типичных нарушений обязательных требований</w:t>
      </w:r>
      <w:r>
        <w:rPr>
          <w:rFonts w:ascii="Tinos" w:hAnsi="Tinos" w:cs="Tinos"/>
          <w:b/>
          <w:sz w:val="28"/>
          <w:szCs w:val="28"/>
        </w:rPr>
      </w:r>
    </w:p>
    <w:p>
      <w:pPr>
        <w:pStyle w:val="903"/>
        <w:ind w:firstLine="840"/>
        <w:jc w:val="both"/>
        <w:spacing w:before="0" w:line="240" w:lineRule="auto"/>
        <w:shd w:val="clear" w:color="auto" w:fill="auto"/>
        <w:rPr>
          <w:rFonts w:ascii="Tinos" w:hAnsi="Tinos" w:cs="Tinos"/>
          <w:sz w:val="28"/>
          <w:szCs w:val="28"/>
          <w:lang w:val="ru-RU"/>
        </w:rPr>
      </w:pPr>
      <w:r>
        <w:rPr>
          <w:rFonts w:ascii="Tinos" w:hAnsi="Tinos" w:cs="Tinos"/>
          <w:sz w:val="28"/>
          <w:szCs w:val="28"/>
          <w:lang w:val="ru-RU"/>
        </w:rPr>
      </w:r>
      <w:r>
        <w:rPr>
          <w:rFonts w:ascii="Tinos" w:hAnsi="Tinos" w:cs="Tinos"/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Нарушений обязательных требований за отчетный период министерством не зафиксировано. </w:t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целях предупреждения нарушений обязательных требований в сфере архивного дела, устранения причин, факторов и условий, способствующих нарушениям обязательных требований </w:t>
      </w:r>
      <w:r>
        <w:rPr>
          <w:rFonts w:ascii="Tinos" w:hAnsi="Tinos" w:eastAsia="Tinos" w:cs="Tinos"/>
          <w:sz w:val="28"/>
          <w:szCs w:val="28"/>
        </w:rPr>
        <w:t xml:space="preserve">законодательства об архивном деле, министерством разработана программа профилактики нарушений обязательных требований при осуществлении министерством культуры Архангельской области регионального государственного контроля (надзора)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 2025 год, утвержденная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распоряжением министерства от 18.12.2024 </w:t>
      </w:r>
      <w:r>
        <w:rPr>
          <w:rFonts w:ascii="Liberation Serif" w:hAnsi="Liberation Serif" w:eastAsia="Liberation Serif" w:cs="Liberation Serif"/>
          <w:sz w:val="28"/>
          <w:szCs w:val="28"/>
        </w:rPr>
        <w:br/>
        <w:t xml:space="preserve">№ 195-р.</w:t>
      </w:r>
      <w:r>
        <w:rPr>
          <w:rFonts w:ascii="Tinos" w:hAnsi="Tinos" w:eastAsia="Tinos" w:cs="Tinos"/>
          <w:sz w:val="28"/>
          <w:szCs w:val="28"/>
        </w:rPr>
        <w:t xml:space="preserve"> Программа профилактики размещена в разделе «Госконтроль» на официальном сайте Правительства Архангельской области в информационно-телекоммуникационной сети «Интернет» (далее – сеть Интернет).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/>
        <w:rPr>
          <w:rFonts w:ascii="Liberation Serif" w:hAnsi="Liberation Serif" w:cstheme="minorBidi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2024 году проведено 6 профилактических визитов: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администрацию Губернатора Архангельской области и Правительства Архангельской области, Архангельское областное Собрание депутатов, министерство по спорту Архангельской области, министерство здравоохранени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 Архангельской области, министерство экономического развития, промышленности и науки Архангельской области, администрацию Вельского муниципального района (архивный отдел), администрацию Виноградовского муниципального округа (архивный отдел По результатам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профилактических визитов всем контролируемым лицам подготовлены методические рекомендации,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администрации Вельского муниципального района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выдано предостережение </w:t>
      </w:r>
      <w:r>
        <w:rPr>
          <w:rFonts w:ascii="Liberation Serif" w:hAnsi="Liberation Serif" w:eastAsia="Liberation Serif" w:cs="Liberation Serif"/>
          <w:sz w:val="28"/>
          <w:szCs w:val="28"/>
        </w:rPr>
        <w:br/>
        <w:t xml:space="preserve">о недопустимости нарушения обязательных требований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theme="minorBidi"/>
          <w:b/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Вопросы соблюдения обязательных требований </w:t>
      </w:r>
      <w:r>
        <w:rPr>
          <w:rFonts w:ascii="Tinos" w:hAnsi="Tinos" w:eastAsia="Tinos" w:cs="Tinos"/>
          <w:sz w:val="28"/>
          <w:szCs w:val="28"/>
        </w:rPr>
        <w:t xml:space="preserve">рассмотрены на ежегодном совещании-семинаре архивных учреждений Архангельской области (28–29 февраля 2024 г.).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86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Государственным архивом проведено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3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обучающих семинара 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br/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по делопроизводству и организации хранения документов в организациях для источников комплектования архива.</w:t>
      </w:r>
      <w:r>
        <w:rPr>
          <w:rFonts w:ascii="Tinos" w:hAnsi="Tinos" w:eastAsia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разделе «Госконтроль» на официальном сайте Правительства Архангельской области в сети Интернет размещен Перечень нормативных правовых актов (их от</w:t>
      </w:r>
      <w:r>
        <w:rPr>
          <w:rFonts w:ascii="Tinos" w:hAnsi="Tinos" w:eastAsia="Tinos" w:cs="Tinos"/>
          <w:sz w:val="28"/>
          <w:szCs w:val="28"/>
        </w:rPr>
        <w:t xml:space="preserve">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деле; исчерпывающий перечень сведений, которые могут зап</w:t>
      </w:r>
      <w:r>
        <w:rPr>
          <w:rFonts w:ascii="Tinos" w:hAnsi="Tinos" w:eastAsia="Tinos" w:cs="Tinos"/>
          <w:sz w:val="28"/>
          <w:szCs w:val="28"/>
        </w:rPr>
        <w:t xml:space="preserve">рашиваться министерством культуры Архангельской области у контролируемого лица при осуществлении регионального государственного контроля (надзора) за соблюдением законодательства об архивном деле; постановление министерства культуры Архангельской области о</w:t>
      </w:r>
      <w:r>
        <w:rPr>
          <w:rFonts w:ascii="Tinos" w:hAnsi="Tinos" w:eastAsia="Tinos" w:cs="Tinos"/>
          <w:sz w:val="28"/>
          <w:szCs w:val="28"/>
        </w:rPr>
        <w:t xml:space="preserve">т 28.02.2022 № 3-п «Об утверждении форм проверочных листов (списков контрольных вопросов), применяемых министерством культуры Архангельской области при осуществлении регионального государственного контроля (надзора)».</w:t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40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val="en-US"/>
        </w:rPr>
        <w:t xml:space="preserve">III</w:t>
      </w:r>
      <w:r>
        <w:rPr>
          <w:rFonts w:ascii="Tinos" w:hAnsi="Tinos" w:eastAsia="Tinos" w:cs="Tinos"/>
          <w:b/>
          <w:sz w:val="28"/>
          <w:szCs w:val="28"/>
        </w:rPr>
        <w:t xml:space="preserve">. Статистическое и аналитическое о</w:t>
      </w:r>
      <w:r>
        <w:rPr>
          <w:rFonts w:ascii="Tinos" w:hAnsi="Tinos" w:eastAsia="Tinos" w:cs="Tinos"/>
          <w:b/>
          <w:sz w:val="28"/>
          <w:szCs w:val="28"/>
        </w:rPr>
        <w:t xml:space="preserve">бобщение случаев причинения вреда (ущерба) охраняемым законом ценностям</w:t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540"/>
        <w:jc w:val="both"/>
        <w:spacing w:after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Несоблюдение требований может привести к нанесению вреда охраняемым законом ценностям.</w:t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Наиболее значимым риском для охраняемых законом ценностей является утрата </w:t>
      </w:r>
      <w:r>
        <w:rPr>
          <w:rFonts w:ascii="Tinos" w:hAnsi="Tinos" w:eastAsia="Tinos" w:cs="Tinos"/>
          <w:sz w:val="28"/>
          <w:szCs w:val="28"/>
        </w:rPr>
        <w:t xml:space="preserve">документов Архивного фонда Российской Федерации </w:t>
      </w:r>
      <w:r>
        <w:rPr>
          <w:rFonts w:ascii="Tinos" w:hAnsi="Tinos" w:eastAsia="Tinos" w:cs="Tinos"/>
          <w:sz w:val="28"/>
          <w:szCs w:val="28"/>
        </w:rPr>
        <w:br/>
        <w:t xml:space="preserve">и других архивных документов.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Фактов о вреде (ущербе), нанесенном охраняемым законом ценностям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в отчетном периоде, министерством не зафиксировано.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Положением</w:t>
      </w:r>
      <w:r>
        <w:rPr>
          <w:rFonts w:ascii="Tinos" w:hAnsi="Tinos" w:eastAsia="Tinos" w:cs="Tinos"/>
          <w:sz w:val="28"/>
          <w:szCs w:val="28"/>
        </w:rPr>
        <w:t xml:space="preserve"> о региональном контроле </w:t>
      </w:r>
      <w:r>
        <w:rPr>
          <w:rFonts w:ascii="Tinos" w:hAnsi="Tinos" w:eastAsia="Tinos" w:cs="Tinos"/>
          <w:bCs/>
          <w:sz w:val="28"/>
          <w:szCs w:val="28"/>
        </w:rPr>
        <w:t xml:space="preserve">государственном контроле</w:t>
      </w:r>
      <w:r>
        <w:rPr>
          <w:rFonts w:ascii="Tinos" w:hAnsi="Tinos" w:eastAsia="Tinos" w:cs="Tinos"/>
          <w:bCs/>
          <w:sz w:val="28"/>
          <w:szCs w:val="28"/>
        </w:rPr>
        <w:t xml:space="preserve"> (надзоре) за соблюдением законодательства об архивном деле, утвержденным постановлением постановление Правительства Архангельской области от 06.09.2021 № 459-пп,</w:t>
      </w:r>
      <w:r>
        <w:rPr>
          <w:rFonts w:ascii="Tinos" w:hAnsi="Tinos" w:eastAsia="Tinos" w:cs="Tinos"/>
          <w:sz w:val="28"/>
          <w:szCs w:val="28"/>
        </w:rPr>
        <w:t xml:space="preserve"> определены критерии отнесения объектов регионального контроля к категориям риска причинения в</w:t>
      </w:r>
      <w:r>
        <w:rPr>
          <w:rFonts w:ascii="Tinos" w:hAnsi="Tinos" w:eastAsia="Tinos" w:cs="Tinos"/>
          <w:sz w:val="28"/>
          <w:szCs w:val="28"/>
        </w:rPr>
        <w:t xml:space="preserve">реда (ущерба) охраняемым законом ценностям, индикаторы риска нарушения обязательных требований, ключевые показатели регионального контроля, индикативные показатели регионального контроля</w:t>
      </w:r>
      <w:r>
        <w:rPr>
          <w:rFonts w:ascii="Tinos" w:hAnsi="Tinos" w:eastAsia="Tinos" w:cs="Tinos"/>
          <w:bCs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Региональный контроль осуществляется на основе управления рисками пр</w:t>
      </w:r>
      <w:r>
        <w:rPr>
          <w:rFonts w:ascii="Tinos" w:hAnsi="Tinos" w:eastAsia="Tinos" w:cs="Tinos"/>
          <w:sz w:val="28"/>
          <w:szCs w:val="28"/>
        </w:rPr>
        <w:t xml:space="preserve">ичинения вреда (ущерба) охраняемым законом ценностям.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Министерство относит объекты регионального контроля к одной из следующих категорий риска причинения вреда (ущерба) охраняемым законом ценностям: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1) высокий риск;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2) умеренный риск;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3) низкий риск.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Распо</w:t>
      </w:r>
      <w:r>
        <w:rPr>
          <w:rFonts w:ascii="Tinos" w:hAnsi="Tinos" w:eastAsia="Tinos" w:cs="Tinos"/>
          <w:sz w:val="28"/>
          <w:szCs w:val="28"/>
        </w:rPr>
        <w:t xml:space="preserve">ряжением министерства от 30.09.2021 № 118-р утвержден Перечень объектов регионального государственного контроля (надзора)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за </w:t>
      </w:r>
      <w:r>
        <w:rPr>
          <w:rFonts w:ascii="Tinos" w:hAnsi="Tinos" w:eastAsia="Tinos" w:cs="Tinos"/>
          <w:bCs/>
          <w:sz w:val="28"/>
          <w:szCs w:val="28"/>
        </w:rPr>
        <w:t xml:space="preserve">соблюдением законодательства об архивном деле</w:t>
      </w:r>
      <w:r>
        <w:rPr>
          <w:rFonts w:ascii="Tinos" w:hAnsi="Tinos" w:eastAsia="Tinos" w:cs="Tinos"/>
          <w:sz w:val="28"/>
          <w:szCs w:val="28"/>
        </w:rPr>
        <w:t xml:space="preserve">, деятельность которых отнесена к определенной категории риска. Распоряжение размещен</w:t>
      </w:r>
      <w:r>
        <w:rPr>
          <w:rFonts w:ascii="Tinos" w:hAnsi="Tinos" w:eastAsia="Tinos" w:cs="Tinos"/>
          <w:sz w:val="28"/>
          <w:szCs w:val="28"/>
        </w:rPr>
        <w:t xml:space="preserve">о в разделе «Госконтроль» на официальном сайте Правительства Архангельской области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в сети Интернет.</w:t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40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val="en-US"/>
        </w:rPr>
        <w:t xml:space="preserve">IV</w:t>
      </w:r>
      <w:r>
        <w:rPr>
          <w:rFonts w:ascii="Tinos" w:hAnsi="Tinos" w:eastAsia="Tinos" w:cs="Tinos"/>
          <w:b/>
          <w:sz w:val="28"/>
          <w:szCs w:val="28"/>
        </w:rPr>
        <w:t xml:space="preserve">. Аналитическое обобщение вопросов организации </w:t>
      </w:r>
      <w:r>
        <w:rPr>
          <w:rFonts w:ascii="Tinos" w:hAnsi="Tinos" w:eastAsia="Tinos" w:cs="Tinos"/>
          <w:b/>
          <w:sz w:val="28"/>
          <w:szCs w:val="28"/>
        </w:rPr>
        <w:br w:type="textWrapping" w:clear="all"/>
      </w:r>
      <w:r>
        <w:rPr>
          <w:rFonts w:ascii="Tinos" w:hAnsi="Tinos" w:eastAsia="Tinos" w:cs="Tinos"/>
          <w:b/>
          <w:sz w:val="28"/>
          <w:szCs w:val="28"/>
        </w:rPr>
        <w:t xml:space="preserve">и осуществления государственного контроля (надзора)</w:t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540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  <w:shd w:val="clear" w:color="auto" w:fill="ffffff"/>
        </w:rPr>
      </w:pPr>
      <w:r>
        <w:rPr>
          <w:rFonts w:ascii="Tinos" w:hAnsi="Tinos" w:eastAsia="Tinos" w:cs="Tinos"/>
          <w:sz w:val="28"/>
          <w:szCs w:val="28"/>
        </w:rPr>
        <w:t xml:space="preserve">В соответствии с подпунктом 2 пункта 1 </w:t>
      </w:r>
      <w:hyperlink r:id="rId15" w:tooltip="consultantplus://offline/ref=5126373A6C0DC5BE1AE5BF247482912E1BC2CF8C0FF1C480FB735D20C5B3A225684A811ADB166506DAt3K" w:history="1">
        <w:r>
          <w:rPr>
            <w:rFonts w:ascii="Tinos" w:hAnsi="Tinos" w:eastAsia="Tinos" w:cs="Tinos"/>
            <w:sz w:val="28"/>
            <w:szCs w:val="28"/>
          </w:rPr>
          <w:t xml:space="preserve">стать</w:t>
        </w:r>
      </w:hyperlink>
      <w:r>
        <w:rPr>
          <w:rFonts w:ascii="Tinos" w:hAnsi="Tinos" w:eastAsia="Tinos" w:cs="Tinos"/>
          <w:sz w:val="28"/>
          <w:szCs w:val="28"/>
        </w:rPr>
        <w:t xml:space="preserve">и 16 Федерального закона от 22.10.2004 № 125-ФЗ «Об архивном деле в Российской Федерации</w:t>
      </w:r>
      <w:r>
        <w:rPr>
          <w:rFonts w:ascii="Tinos" w:hAnsi="Tinos" w:eastAsia="Tinos" w:cs="Tinos"/>
          <w:sz w:val="28"/>
          <w:szCs w:val="28"/>
        </w:rPr>
        <w:t xml:space="preserve">» региональный государственный контроль (надзор) за соблюдением законодательства об архивном деле осуществляют уполномоченные органы государственной власти субъектов Российской Федерации в соответствии </w:t>
      </w:r>
      <w:r>
        <w:rPr>
          <w:rFonts w:ascii="Tinos" w:hAnsi="Tinos" w:eastAsia="Tinos" w:cs="Tinos"/>
          <w:sz w:val="28"/>
          <w:szCs w:val="28"/>
          <w:shd w:val="clear" w:color="auto" w:fill="ffffff"/>
        </w:rPr>
        <w:t xml:space="preserve">положениями, утверждаемыми высшими исполнительными орг</w:t>
      </w:r>
      <w:r>
        <w:rPr>
          <w:rFonts w:ascii="Tinos" w:hAnsi="Tinos" w:eastAsia="Tinos" w:cs="Tinos"/>
          <w:sz w:val="28"/>
          <w:szCs w:val="28"/>
          <w:shd w:val="clear" w:color="auto" w:fill="ffffff"/>
        </w:rPr>
        <w:t xml:space="preserve">анами государственной власти субъектов Российской Федерации.</w:t>
      </w:r>
      <w:r>
        <w:rPr>
          <w:rFonts w:ascii="Tinos" w:hAnsi="Tinos" w:cs="Tinos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2021 году в соответствии с Федеральным законом от 31.07.2020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№ 248-ФЗ «О государственном контроле (надзоре) и муниципальном контроле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в Российской Федерации»</w:t>
      </w:r>
      <w:r>
        <w:rPr>
          <w:rFonts w:ascii="Tinos" w:hAnsi="Tinos" w:eastAsia="Tinos" w:cs="Tinos"/>
          <w:bCs/>
          <w:sz w:val="28"/>
          <w:szCs w:val="28"/>
        </w:rPr>
        <w:t xml:space="preserve"> принято </w:t>
      </w:r>
      <w:hyperlink r:id="rId16" w:tooltip="http://culart.gov39.ru/ministerstvo/dokumenty/?EID=7849" w:history="1">
        <w:r>
          <w:rPr>
            <w:rFonts w:ascii="Tinos" w:hAnsi="Tinos" w:eastAsia="Tinos" w:cs="Tinos"/>
            <w:bCs/>
            <w:sz w:val="28"/>
            <w:szCs w:val="28"/>
          </w:rPr>
          <w:t xml:space="preserve">постановление Правительства Архангельской области от 06.09.2021 № 459-пп «</w:t>
        </w:r>
      </w:hyperlink>
      <w:r>
        <w:rPr>
          <w:rFonts w:ascii="Tinos" w:hAnsi="Tinos" w:eastAsia="Tinos" w:cs="Tinos"/>
          <w:bCs/>
          <w:sz w:val="28"/>
          <w:szCs w:val="28"/>
        </w:rPr>
        <w:t xml:space="preserve">Об утверждении Положения о региональном государственном контроле (надзоре) за соблюдением законодательства об архивном деле»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Объектом г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осударственного контроля является деятельность государственных органов, органов местного самоуправления, организаций (далее в совокупности - организации), граждан, занимающихся предпринимательской деятельностью без образования юридического лица, нотариусов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занимающихся частной практикой (далее в совокупности - индивидуальные предприниматели), по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Архангельско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й области. (п. 6 в ред. постановления Правительства Архангельской области от 06.09.2023 N 832-пп)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Письменного консультирования положений законодательства Российской Федерации о государственном контроле (надзоре) за </w:t>
      </w:r>
      <w:r>
        <w:rPr>
          <w:rFonts w:ascii="Tinos" w:hAnsi="Tinos" w:eastAsia="Tinos" w:cs="Tinos"/>
          <w:bCs/>
          <w:sz w:val="28"/>
          <w:szCs w:val="28"/>
        </w:rPr>
        <w:t xml:space="preserve">соблюдением законодательства об архивном</w:t>
      </w:r>
      <w:r>
        <w:rPr>
          <w:rFonts w:ascii="Tinos" w:hAnsi="Tinos" w:eastAsia="Tinos" w:cs="Tinos"/>
          <w:bCs/>
          <w:sz w:val="28"/>
          <w:szCs w:val="28"/>
        </w:rPr>
        <w:t xml:space="preserve"> деле</w:t>
      </w:r>
      <w:r>
        <w:rPr>
          <w:rFonts w:ascii="Tinos" w:hAnsi="Tinos" w:eastAsia="Tinos" w:cs="Tinos"/>
          <w:sz w:val="28"/>
          <w:szCs w:val="28"/>
        </w:rPr>
        <w:t xml:space="preserve"> за отчетный период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не потребовалось.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 2024 год сформирован план контрольно-надзорных мероприятий (проверок), по предложению прокуратуры Архангельской области плановые проверки на 2024 год исключены.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40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val="en-US"/>
        </w:rPr>
        <w:t xml:space="preserve">IV</w:t>
      </w:r>
      <w:r>
        <w:rPr>
          <w:rFonts w:ascii="Tinos" w:hAnsi="Tinos" w:eastAsia="Tinos" w:cs="Tinos"/>
          <w:b/>
          <w:sz w:val="28"/>
          <w:szCs w:val="28"/>
        </w:rPr>
        <w:t xml:space="preserve">. Выводы и предложения</w:t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540"/>
        <w:jc w:val="center"/>
        <w:spacing w:after="0" w:line="283" w:lineRule="atLeast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связи с излишним количеством государственных автоматизированных платформ (систем) для организации контрольно-надзорной деятельности </w:t>
      </w:r>
      <w:r>
        <w:rPr>
          <w:rFonts w:ascii="Tinos" w:hAnsi="Tinos" w:eastAsia="Tinos" w:cs="Tinos"/>
          <w:sz w:val="28"/>
          <w:szCs w:val="28"/>
        </w:rPr>
        <w:br w:type="textWrapping" w:clear="all"/>
      </w:r>
      <w:r>
        <w:rPr>
          <w:rFonts w:ascii="Tinos" w:hAnsi="Tinos" w:eastAsia="Tinos" w:cs="Tinos"/>
          <w:sz w:val="28"/>
          <w:szCs w:val="28"/>
        </w:rPr>
        <w:t xml:space="preserve">и дублированием их функций, считаем целесообразным оптимизировать технологический процесс по автоматизации контрольно-над</w:t>
      </w:r>
      <w:r>
        <w:rPr>
          <w:rFonts w:ascii="Tinos" w:hAnsi="Tinos" w:eastAsia="Tinos" w:cs="Tinos"/>
          <w:sz w:val="28"/>
          <w:szCs w:val="28"/>
        </w:rPr>
        <w:t xml:space="preserve">зорной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</w:p>
    <w:sectPr>
      <w:footnotePr/>
      <w:endnotePr/>
      <w:type w:val="nextPage"/>
      <w:pgSz w:w="11905" w:h="16837" w:orient="portrait"/>
      <w:pgMar w:top="1106" w:right="709" w:bottom="566" w:left="1701" w:header="425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iberation Serif">
    <w:panose1 w:val="02020603050405020304"/>
  </w:font>
  <w:font w:name="Tahoma">
    <w:panose1 w:val="020B0604030504040204"/>
  </w:font>
  <w:font w:name="Courier New">
    <w:panose1 w:val="02070409020205020404"/>
  </w:font>
  <w:font w:name="Cordia New">
    <w:panose1 w:val="020B06060202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fldSimple w:instr="PAGE \* MERGEFORMAT">
      <w:r>
        <w:t xml:space="preserve">1</w:t>
      </w:r>
    </w:fldSimple>
    <w:r/>
    <w:r/>
  </w:p>
  <w:p>
    <w:pPr>
      <w:pStyle w:val="73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left="6566"/>
      <w:shd w:val="clear" w:color="auto" w:fill="auto"/>
      <w:framePr w:w="11242" w:h="139" w:wrap="none" w:vAnchor="text" w:hAnchor="page" w:x="332" w:y="1351"/>
    </w:pPr>
    <w:r>
      <w:rPr>
        <w:rStyle w:val="894"/>
      </w:rPr>
      <w:t xml:space="preserve">]3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3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9"/>
    <w:link w:val="723"/>
    <w:uiPriority w:val="10"/>
    <w:rPr>
      <w:sz w:val="48"/>
      <w:szCs w:val="48"/>
    </w:rPr>
  </w:style>
  <w:style w:type="character" w:styleId="37">
    <w:name w:val="Subtitle Char"/>
    <w:basedOn w:val="709"/>
    <w:link w:val="725"/>
    <w:uiPriority w:val="11"/>
    <w:rPr>
      <w:sz w:val="24"/>
      <w:szCs w:val="24"/>
    </w:rPr>
  </w:style>
  <w:style w:type="character" w:styleId="39">
    <w:name w:val="Quote Char"/>
    <w:link w:val="727"/>
    <w:uiPriority w:val="29"/>
    <w:rPr>
      <w:i/>
    </w:rPr>
  </w:style>
  <w:style w:type="character" w:styleId="41">
    <w:name w:val="Intense Quote Char"/>
    <w:link w:val="729"/>
    <w:uiPriority w:val="30"/>
    <w:rPr>
      <w:i/>
    </w:rPr>
  </w:style>
  <w:style w:type="character" w:styleId="179">
    <w:name w:val="Endnote Text Char"/>
    <w:link w:val="867"/>
    <w:uiPriority w:val="99"/>
    <w:rPr>
      <w:sz w:val="20"/>
    </w:rPr>
  </w:style>
  <w:style w:type="paragraph" w:styleId="699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700">
    <w:name w:val="Heading 1"/>
    <w:basedOn w:val="699"/>
    <w:link w:val="9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val="en-US" w:eastAsia="en-US"/>
    </w:rPr>
  </w:style>
  <w:style w:type="paragraph" w:styleId="701">
    <w:name w:val="Heading 2"/>
    <w:basedOn w:val="699"/>
    <w:next w:val="699"/>
    <w:link w:val="7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99"/>
    <w:qFormat/>
    <w:rPr>
      <w:rFonts w:eastAsia="Calibri" w:cs="Calibri"/>
      <w:sz w:val="22"/>
      <w:szCs w:val="22"/>
      <w:lang w:eastAsia="en-US"/>
    </w:r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2" w:customStyle="1">
    <w:name w:val="Header Char"/>
    <w:uiPriority w:val="99"/>
  </w:style>
  <w:style w:type="paragraph" w:styleId="733">
    <w:name w:val="Footer"/>
    <w:basedOn w:val="699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>
    <w:name w:val="Table Grid"/>
    <w:basedOn w:val="710"/>
    <w:uiPriority w:val="59"/>
    <w:tblPr/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semiHidden/>
    <w:unhideWhenUsed/>
    <w:rPr>
      <w:color w:val="0000ff"/>
      <w:u w:val="single"/>
    </w:rPr>
  </w:style>
  <w:style w:type="paragraph" w:styleId="864">
    <w:name w:val="footnote text"/>
    <w:basedOn w:val="699"/>
    <w:link w:val="924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865" w:customStyle="1">
    <w:name w:val="Footnote Text Char"/>
    <w:uiPriority w:val="99"/>
    <w:rPr>
      <w:sz w:val="18"/>
    </w:rPr>
  </w:style>
  <w:style w:type="character" w:styleId="866">
    <w:name w:val="footnote reference"/>
    <w:uiPriority w:val="99"/>
    <w:semiHidden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9"/>
    <w:next w:val="699"/>
    <w:uiPriority w:val="99"/>
    <w:unhideWhenUsed/>
    <w:pPr>
      <w:spacing w:after="0"/>
    </w:pPr>
  </w:style>
  <w:style w:type="character" w:styleId="881" w:customStyle="1">
    <w:name w:val="Основной текст_"/>
    <w:link w:val="882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882" w:customStyle="1">
    <w:name w:val="Основной текст2"/>
    <w:basedOn w:val="699"/>
    <w:link w:val="881"/>
    <w:pPr>
      <w:jc w:val="right"/>
      <w:spacing w:after="0" w:line="336" w:lineRule="exact"/>
      <w:shd w:val="clear" w:color="auto" w:fill="ffffff"/>
    </w:pPr>
    <w:rPr>
      <w:rFonts w:ascii="Times New Roman" w:hAnsi="Times New Roman"/>
      <w:sz w:val="27"/>
      <w:szCs w:val="27"/>
      <w:lang w:val="en-US" w:eastAsia="en-US"/>
    </w:rPr>
  </w:style>
  <w:style w:type="character" w:styleId="883" w:customStyle="1">
    <w:name w:val="Колонтитул_"/>
    <w:link w:val="9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884" w:customStyle="1">
    <w:name w:val="Колонтитул + Курсив"/>
    <w:rPr>
      <w:rFonts w:ascii="Times New Roman" w:hAnsi="Times New Roman" w:eastAsia="Times New Roman" w:cs="Times New Roman"/>
      <w:i/>
      <w:iCs/>
      <w:sz w:val="20"/>
      <w:szCs w:val="20"/>
      <w:shd w:val="clear" w:color="auto" w:fill="ffffff"/>
    </w:rPr>
  </w:style>
  <w:style w:type="character" w:styleId="885" w:customStyle="1">
    <w:name w:val="Заголовок №1_"/>
    <w:link w:val="902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86" w:customStyle="1">
    <w:name w:val="Основной текст (2)_"/>
    <w:link w:val="903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887" w:customStyle="1">
    <w:name w:val="Основной текст (7)_"/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888" w:customStyle="1">
    <w:name w:val="Основной текст (7)"/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889" w:customStyle="1">
    <w:name w:val="Основной текст (4)_"/>
    <w:link w:val="904"/>
    <w:rPr>
      <w:rFonts w:ascii="Times New Roman" w:hAnsi="Times New Roman" w:eastAsia="Times New Roman" w:cs="Times New Roman"/>
      <w:sz w:val="24"/>
      <w:szCs w:val="24"/>
      <w:shd w:val="clear" w:color="auto" w:fill="ffffff"/>
    </w:rPr>
  </w:style>
  <w:style w:type="character" w:styleId="890" w:customStyle="1">
    <w:name w:val="Основной текст (3)_"/>
    <w:rPr>
      <w:rFonts w:ascii="Times New Roman" w:hAnsi="Times New Roman" w:eastAsia="Times New Roman" w:cs="Times New Roman"/>
      <w:spacing w:val="0"/>
      <w:sz w:val="21"/>
      <w:szCs w:val="21"/>
    </w:rPr>
  </w:style>
  <w:style w:type="character" w:styleId="891" w:customStyle="1">
    <w:name w:val="Основной текст + Полужирный"/>
    <w:rPr>
      <w:rFonts w:ascii="Times New Roman" w:hAnsi="Times New Roman" w:eastAsia="Times New Roman" w:cs="Times New Roman"/>
      <w:b/>
      <w:bCs/>
      <w:spacing w:val="0"/>
      <w:sz w:val="27"/>
      <w:szCs w:val="27"/>
      <w:shd w:val="clear" w:color="auto" w:fill="ffffff"/>
    </w:rPr>
  </w:style>
  <w:style w:type="character" w:styleId="892" w:customStyle="1">
    <w:name w:val="Основной текст (6)_"/>
    <w:link w:val="905"/>
    <w:rPr>
      <w:rFonts w:ascii="Times New Roman" w:hAnsi="Times New Roman" w:eastAsia="Times New Roman" w:cs="Times New Roman"/>
      <w:sz w:val="24"/>
      <w:szCs w:val="24"/>
      <w:shd w:val="clear" w:color="auto" w:fill="ffffff"/>
    </w:rPr>
  </w:style>
  <w:style w:type="character" w:styleId="893" w:customStyle="1">
    <w:name w:val="Колонтитул + Cordia New;13 pt"/>
    <w:rPr>
      <w:rFonts w:ascii="Cordia New" w:hAnsi="Cordia New" w:eastAsia="Cordia New" w:cs="Cordia New"/>
      <w:spacing w:val="0"/>
      <w:sz w:val="26"/>
      <w:szCs w:val="26"/>
      <w:shd w:val="clear" w:color="auto" w:fill="ffffff"/>
    </w:rPr>
  </w:style>
  <w:style w:type="character" w:styleId="894" w:customStyle="1">
    <w:name w:val="Колонтитул + Cordia New;11;5 pt;Полужирный;Интервал 0 pt"/>
    <w:rPr>
      <w:rFonts w:ascii="Cordia New" w:hAnsi="Cordia New" w:eastAsia="Cordia New" w:cs="Cordia New"/>
      <w:b/>
      <w:bCs/>
      <w:spacing w:val="10"/>
      <w:sz w:val="23"/>
      <w:szCs w:val="23"/>
      <w:shd w:val="clear" w:color="auto" w:fill="ffffff"/>
    </w:rPr>
  </w:style>
  <w:style w:type="character" w:styleId="895" w:customStyle="1">
    <w:name w:val="Основной текст (3) + 13;5 pt;Не полужирный"/>
    <w:rPr>
      <w:rFonts w:ascii="Times New Roman" w:hAnsi="Times New Roman" w:eastAsia="Times New Roman" w:cs="Times New Roman"/>
      <w:b/>
      <w:bCs/>
      <w:spacing w:val="0"/>
      <w:sz w:val="27"/>
      <w:szCs w:val="27"/>
    </w:rPr>
  </w:style>
  <w:style w:type="character" w:styleId="896" w:customStyle="1">
    <w:name w:val="Основной текст (3) + 13;5 pt;Не полужирный;Интервал -1 pt"/>
    <w:rPr>
      <w:rFonts w:ascii="Times New Roman" w:hAnsi="Times New Roman" w:eastAsia="Times New Roman" w:cs="Times New Roman"/>
      <w:b/>
      <w:bCs/>
      <w:spacing w:val="-30"/>
      <w:sz w:val="27"/>
      <w:szCs w:val="27"/>
    </w:rPr>
  </w:style>
  <w:style w:type="character" w:styleId="897" w:customStyle="1">
    <w:name w:val="Основной текст (3)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styleId="898" w:customStyle="1">
    <w:name w:val="Основной текст (8)_"/>
    <w:link w:val="90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99" w:customStyle="1">
    <w:name w:val="Основной текст (9)_"/>
    <w:link w:val="907"/>
    <w:rPr>
      <w:rFonts w:ascii="Times New Roman" w:hAnsi="Times New Roman" w:eastAsia="Times New Roman" w:cs="Times New Roman"/>
      <w:sz w:val="24"/>
      <w:szCs w:val="24"/>
      <w:shd w:val="clear" w:color="auto" w:fill="ffffff"/>
    </w:rPr>
  </w:style>
  <w:style w:type="character" w:styleId="900" w:customStyle="1">
    <w:name w:val="Основной текст (10)_"/>
    <w:link w:val="908"/>
    <w:rPr>
      <w:rFonts w:ascii="Times New Roman" w:hAnsi="Times New Roman" w:eastAsia="Times New Roman" w:cs="Times New Roman"/>
      <w:sz w:val="24"/>
      <w:szCs w:val="24"/>
      <w:shd w:val="clear" w:color="auto" w:fill="ffffff"/>
    </w:rPr>
  </w:style>
  <w:style w:type="paragraph" w:styleId="901" w:customStyle="1">
    <w:name w:val="Колонтитул"/>
    <w:basedOn w:val="699"/>
    <w:link w:val="883"/>
    <w:pPr>
      <w:spacing w:after="0" w:line="240" w:lineRule="auto"/>
      <w:shd w:val="clear" w:color="auto" w:fill="ffffff"/>
    </w:pPr>
    <w:rPr>
      <w:rFonts w:ascii="Times New Roman" w:hAnsi="Times New Roman"/>
      <w:sz w:val="20"/>
      <w:szCs w:val="20"/>
      <w:lang w:val="en-US" w:eastAsia="en-US"/>
    </w:rPr>
  </w:style>
  <w:style w:type="paragraph" w:styleId="902" w:customStyle="1">
    <w:name w:val="Заголовок №1"/>
    <w:basedOn w:val="699"/>
    <w:link w:val="885"/>
    <w:pPr>
      <w:jc w:val="center"/>
      <w:spacing w:before="420" w:after="0" w:line="341" w:lineRule="exact"/>
      <w:shd w:val="clear" w:color="auto" w:fill="ffffff"/>
      <w:outlineLvl w:val="0"/>
    </w:pPr>
    <w:rPr>
      <w:rFonts w:ascii="Times New Roman" w:hAnsi="Times New Roman"/>
      <w:sz w:val="27"/>
      <w:szCs w:val="27"/>
      <w:lang w:val="en-US" w:eastAsia="en-US"/>
    </w:rPr>
  </w:style>
  <w:style w:type="paragraph" w:styleId="903" w:customStyle="1">
    <w:name w:val="Основной текст (2)"/>
    <w:basedOn w:val="699"/>
    <w:link w:val="886"/>
    <w:pPr>
      <w:jc w:val="center"/>
      <w:spacing w:before="420" w:after="0" w:line="341" w:lineRule="exact"/>
      <w:shd w:val="clear" w:color="auto" w:fill="ffffff"/>
    </w:pPr>
    <w:rPr>
      <w:rFonts w:ascii="Times New Roman" w:hAnsi="Times New Roman"/>
      <w:sz w:val="27"/>
      <w:szCs w:val="27"/>
      <w:lang w:val="en-US" w:eastAsia="en-US"/>
    </w:rPr>
  </w:style>
  <w:style w:type="paragraph" w:styleId="904" w:customStyle="1">
    <w:name w:val="Основной текст (4)"/>
    <w:basedOn w:val="699"/>
    <w:link w:val="889"/>
    <w:pPr>
      <w:spacing w:after="0" w:line="0" w:lineRule="atLeast"/>
      <w:shd w:val="clear" w:color="auto" w:fill="ffffff"/>
    </w:pPr>
    <w:rPr>
      <w:rFonts w:ascii="Times New Roman" w:hAnsi="Times New Roman"/>
      <w:sz w:val="24"/>
      <w:szCs w:val="24"/>
      <w:lang w:val="en-US" w:eastAsia="en-US"/>
    </w:rPr>
  </w:style>
  <w:style w:type="paragraph" w:styleId="905" w:customStyle="1">
    <w:name w:val="Основной текст (6)"/>
    <w:basedOn w:val="699"/>
    <w:link w:val="892"/>
    <w:pPr>
      <w:spacing w:after="0" w:line="0" w:lineRule="atLeast"/>
      <w:shd w:val="clear" w:color="auto" w:fill="ffffff"/>
    </w:pPr>
    <w:rPr>
      <w:rFonts w:ascii="Times New Roman" w:hAnsi="Times New Roman"/>
      <w:sz w:val="24"/>
      <w:szCs w:val="24"/>
      <w:lang w:val="en-US" w:eastAsia="en-US"/>
    </w:rPr>
  </w:style>
  <w:style w:type="paragraph" w:styleId="906" w:customStyle="1">
    <w:name w:val="Основной текст (8)"/>
    <w:basedOn w:val="699"/>
    <w:link w:val="898"/>
    <w:pPr>
      <w:spacing w:after="0" w:line="0" w:lineRule="atLeast"/>
      <w:shd w:val="clear" w:color="auto" w:fill="ffffff"/>
    </w:pPr>
    <w:rPr>
      <w:rFonts w:ascii="Times New Roman" w:hAnsi="Times New Roman"/>
      <w:sz w:val="26"/>
      <w:szCs w:val="26"/>
      <w:lang w:val="en-US" w:eastAsia="en-US"/>
    </w:rPr>
  </w:style>
  <w:style w:type="paragraph" w:styleId="907" w:customStyle="1">
    <w:name w:val="Основной текст (9)"/>
    <w:basedOn w:val="699"/>
    <w:link w:val="899"/>
    <w:pPr>
      <w:spacing w:after="0" w:line="0" w:lineRule="atLeast"/>
      <w:shd w:val="clear" w:color="auto" w:fill="ffffff"/>
    </w:pPr>
    <w:rPr>
      <w:rFonts w:ascii="Times New Roman" w:hAnsi="Times New Roman"/>
      <w:sz w:val="24"/>
      <w:szCs w:val="24"/>
      <w:lang w:val="en-US" w:eastAsia="en-US"/>
    </w:rPr>
  </w:style>
  <w:style w:type="paragraph" w:styleId="908" w:customStyle="1">
    <w:name w:val="Основной текст (10)"/>
    <w:basedOn w:val="699"/>
    <w:link w:val="900"/>
    <w:pPr>
      <w:spacing w:after="0" w:line="0" w:lineRule="atLeast"/>
      <w:shd w:val="clear" w:color="auto" w:fill="ffffff"/>
    </w:pPr>
    <w:rPr>
      <w:rFonts w:ascii="Times New Roman" w:hAnsi="Times New Roman"/>
      <w:sz w:val="24"/>
      <w:szCs w:val="24"/>
      <w:lang w:val="en-US" w:eastAsia="en-US"/>
    </w:rPr>
  </w:style>
  <w:style w:type="character" w:styleId="909" w:customStyle="1">
    <w:name w:val="Нижний колонтитул Знак"/>
    <w:basedOn w:val="709"/>
    <w:link w:val="733"/>
    <w:uiPriority w:val="99"/>
    <w:semiHidden/>
  </w:style>
  <w:style w:type="character" w:styleId="910" w:customStyle="1">
    <w:name w:val="Верхний колонтитул Знак"/>
    <w:basedOn w:val="709"/>
    <w:link w:val="731"/>
    <w:uiPriority w:val="99"/>
  </w:style>
  <w:style w:type="character" w:styleId="911" w:customStyle="1">
    <w:name w:val="Заголовок 1 Знак"/>
    <w:link w:val="700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912" w:customStyle="1">
    <w:name w:val="ConsPlusTitle"/>
    <w:pPr>
      <w:widowControl w:val="off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91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14" w:customStyle="1">
    <w:name w:val="Подпись к картинке_"/>
    <w:link w:val="915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styleId="915" w:customStyle="1">
    <w:name w:val="Подпись к картинке"/>
    <w:basedOn w:val="699"/>
    <w:link w:val="914"/>
    <w:pPr>
      <w:spacing w:after="0" w:line="0" w:lineRule="atLeast"/>
      <w:shd w:val="clear" w:color="auto" w:fill="ffffff"/>
    </w:pPr>
    <w:rPr>
      <w:rFonts w:ascii="Times New Roman" w:hAnsi="Times New Roman"/>
      <w:sz w:val="25"/>
      <w:szCs w:val="25"/>
      <w:lang w:val="en-US" w:eastAsia="en-US"/>
    </w:rPr>
  </w:style>
  <w:style w:type="paragraph" w:styleId="916" w:customStyle="1">
    <w:name w:val="Основной текст1"/>
    <w:basedOn w:val="699"/>
    <w:pPr>
      <w:spacing w:before="60" w:after="420" w:line="0" w:lineRule="atLeast"/>
      <w:shd w:val="clear" w:color="auto" w:fill="ffffff"/>
    </w:pPr>
    <w:rPr>
      <w:rFonts w:ascii="Times New Roman" w:hAnsi="Times New Roman"/>
      <w:color w:val="000000"/>
      <w:sz w:val="25"/>
      <w:szCs w:val="25"/>
    </w:rPr>
  </w:style>
  <w:style w:type="paragraph" w:styleId="917">
    <w:name w:val="Balloon Text"/>
    <w:basedOn w:val="699"/>
    <w:link w:val="91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 w:customStyle="1">
    <w:name w:val="ConsPlusNormal"/>
    <w:pPr>
      <w:widowControl w:val="off"/>
    </w:pPr>
    <w:rPr>
      <w:rFonts w:cs="Calibri"/>
      <w:sz w:val="22"/>
      <w:lang w:eastAsia="ru-RU"/>
    </w:rPr>
  </w:style>
  <w:style w:type="paragraph" w:styleId="920">
    <w:name w:val="HTML Preformatted"/>
    <w:basedOn w:val="699"/>
    <w:link w:val="92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21" w:customStyle="1">
    <w:name w:val="Стандартный HTML Знак"/>
    <w:link w:val="920"/>
    <w:uiPriority w:val="99"/>
    <w:rPr>
      <w:rFonts w:ascii="Courier New" w:hAnsi="Courier New" w:eastAsia="Times New Roman" w:cs="Courier New"/>
      <w:sz w:val="20"/>
      <w:szCs w:val="20"/>
    </w:rPr>
  </w:style>
  <w:style w:type="character" w:styleId="922" w:customStyle="1">
    <w:name w:val="bookmark"/>
    <w:basedOn w:val="709"/>
  </w:style>
  <w:style w:type="paragraph" w:styleId="923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character" w:styleId="924" w:customStyle="1">
    <w:name w:val="Текст сноски Знак"/>
    <w:link w:val="864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mailto:arhobr@dvinaland.ru" TargetMode="External"/><Relationship Id="rId15" Type="http://schemas.openxmlformats.org/officeDocument/2006/relationships/hyperlink" Target="consultantplus://offline/ref=5126373A6C0DC5BE1AE5BF247482912E1BC2CF8C0FF1C480FB735D20C5B3A225684A811ADB166506DAt3K" TargetMode="External"/><Relationship Id="rId16" Type="http://schemas.openxmlformats.org/officeDocument/2006/relationships/hyperlink" Target="http://culart.gov39.ru/ministerstvo/dokumenty/?EID=78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t.nikitina</dc:creator>
  <cp:revision>3</cp:revision>
  <dcterms:created xsi:type="dcterms:W3CDTF">2025-03-19T07:29:00Z</dcterms:created>
  <dcterms:modified xsi:type="dcterms:W3CDTF">2025-03-19T07:44:32Z</dcterms:modified>
  <cp:version>786432</cp:version>
</cp:coreProperties>
</file>